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E5" w:rsidRDefault="00214EE5" w:rsidP="00214EE5">
      <w:pPr>
        <w:pStyle w:val="2"/>
      </w:pPr>
      <w:r>
        <w:t xml:space="preserve">Тема № 1. Особенности уплаты таможенных платежей. </w:t>
      </w:r>
    </w:p>
    <w:p w:rsidR="00214EE5" w:rsidRDefault="00214EE5" w:rsidP="00214EE5">
      <w:pPr>
        <w:pStyle w:val="2"/>
      </w:pPr>
      <w:r>
        <w:t>Тема № 2. Особенности перемещения транспортных средств через таможенную границу Республики Казахстан.</w:t>
      </w:r>
    </w:p>
    <w:p w:rsidR="00214EE5" w:rsidRDefault="00214EE5" w:rsidP="00214EE5">
      <w:pPr>
        <w:pStyle w:val="2"/>
      </w:pPr>
      <w:r>
        <w:t>Тема № 3. Таможенное оформление транспортных средств.</w:t>
      </w:r>
    </w:p>
    <w:p w:rsidR="00214EE5" w:rsidRDefault="00214EE5" w:rsidP="00214EE5">
      <w:pPr>
        <w:pStyle w:val="2"/>
      </w:pPr>
      <w:r>
        <w:t>Тема № 4. Понятие и особенности таможенной экспертизы.</w:t>
      </w:r>
    </w:p>
    <w:p w:rsidR="00214EE5" w:rsidRDefault="00214EE5" w:rsidP="00214EE5">
      <w:pPr>
        <w:pStyle w:val="2"/>
      </w:pPr>
      <w:r>
        <w:t>Тема 5. Определение таможенной стоимости товаров.</w:t>
      </w:r>
    </w:p>
    <w:p w:rsidR="00214EE5" w:rsidRDefault="00214EE5" w:rsidP="00214EE5">
      <w:pPr>
        <w:pStyle w:val="2"/>
      </w:pPr>
      <w:r>
        <w:t>Тема 6. Перспективы развития Таможенного союза России, Казахстана и Беларуси</w:t>
      </w:r>
    </w:p>
    <w:p w:rsidR="006D6A3D" w:rsidRDefault="006D6A3D"/>
    <w:sectPr w:rsidR="006D6A3D" w:rsidSect="006D6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4EE5"/>
    <w:rsid w:val="00214EE5"/>
    <w:rsid w:val="006D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14E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14EE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2012-01-10T08:45:00Z</dcterms:created>
  <dcterms:modified xsi:type="dcterms:W3CDTF">2012-01-10T08:46:00Z</dcterms:modified>
  <cp:contentStatus>срс для зо</cp:contentStatus>
</cp:coreProperties>
</file>